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99" w:rsidRPr="007A351C" w:rsidRDefault="00AE5C99" w:rsidP="00AE5C99">
      <w:pPr>
        <w:jc w:val="both"/>
        <w:rPr>
          <w:rFonts w:ascii="Century Gothic" w:hAnsi="Century Gothic"/>
        </w:rPr>
      </w:pPr>
    </w:p>
    <w:p w:rsidR="00AE5C99" w:rsidRPr="007A351C" w:rsidRDefault="00AE5C99" w:rsidP="00AE5C99">
      <w:pPr>
        <w:spacing w:before="4440"/>
        <w:jc w:val="both"/>
        <w:rPr>
          <w:rFonts w:ascii="Century Gothic" w:hAnsi="Century Gothic"/>
          <w:sz w:val="40"/>
          <w:szCs w:val="40"/>
        </w:rPr>
      </w:pPr>
      <w:r w:rsidRPr="007A351C">
        <w:rPr>
          <w:rFonts w:ascii="Century Gothic" w:hAnsi="Century Gothic"/>
          <w:sz w:val="40"/>
          <w:szCs w:val="40"/>
        </w:rPr>
        <w:t>Capítulo 1: Introducción</w:t>
      </w:r>
    </w:p>
    <w:p w:rsidR="00AE5C99" w:rsidRPr="007A351C" w:rsidRDefault="00AE5C99" w:rsidP="00AE5C99">
      <w:pPr>
        <w:jc w:val="both"/>
        <w:rPr>
          <w:rFonts w:ascii="Century Gothic" w:hAnsi="Century Gothic"/>
        </w:rPr>
      </w:pPr>
    </w:p>
    <w:p w:rsidR="00AE5C99" w:rsidRPr="007A351C" w:rsidRDefault="00AE5C99" w:rsidP="00AE5C99">
      <w:pPr>
        <w:jc w:val="both"/>
        <w:rPr>
          <w:rFonts w:ascii="Century Gothic" w:hAnsi="Century Gothic"/>
        </w:rPr>
        <w:sectPr w:rsidR="00AE5C99" w:rsidRPr="007A351C" w:rsidSect="00617DAD">
          <w:footerReference w:type="default" r:id="rId5"/>
          <w:pgSz w:w="11906" w:h="16838"/>
          <w:pgMar w:top="1417" w:right="1701" w:bottom="1417" w:left="1701" w:header="708" w:footer="708" w:gutter="0"/>
          <w:cols w:space="708"/>
          <w:docGrid w:linePitch="360"/>
        </w:sectPr>
      </w:pPr>
    </w:p>
    <w:p w:rsidR="00AE5C99" w:rsidRPr="007A351C" w:rsidRDefault="00AE5C99" w:rsidP="00AE5C99">
      <w:pPr>
        <w:jc w:val="both"/>
        <w:rPr>
          <w:rFonts w:ascii="Century Gothic" w:hAnsi="Century Gothic"/>
        </w:rPr>
      </w:pPr>
    </w:p>
    <w:p w:rsidR="00AE5C99" w:rsidRPr="007A351C" w:rsidRDefault="00AE5C99" w:rsidP="00AE5C99">
      <w:pPr>
        <w:jc w:val="both"/>
        <w:rPr>
          <w:rFonts w:ascii="Century Gothic" w:hAnsi="Century Gothic"/>
        </w:rPr>
      </w:pPr>
    </w:p>
    <w:p w:rsidR="00AE5C99" w:rsidRPr="007A351C" w:rsidRDefault="00AE5C99" w:rsidP="00AE5C99">
      <w:pPr>
        <w:jc w:val="both"/>
        <w:rPr>
          <w:rFonts w:ascii="Century Gothic" w:hAnsi="Century Gothic"/>
        </w:rPr>
      </w:pPr>
    </w:p>
    <w:p w:rsidR="00AE5C99" w:rsidRPr="007A351C" w:rsidRDefault="00AE5C99" w:rsidP="00AE5C99">
      <w:pPr>
        <w:jc w:val="both"/>
        <w:rPr>
          <w:rFonts w:ascii="Century Gothic" w:hAnsi="Century Gothic"/>
        </w:rPr>
      </w:pPr>
    </w:p>
    <w:p w:rsidR="00AE5C99" w:rsidRPr="007A351C" w:rsidRDefault="00AE5C99" w:rsidP="00AE5C99">
      <w:pPr>
        <w:jc w:val="both"/>
        <w:rPr>
          <w:rFonts w:ascii="Century Gothic" w:hAnsi="Century Gothic"/>
        </w:rPr>
      </w:pPr>
      <w:r w:rsidRPr="007A351C">
        <w:rPr>
          <w:rFonts w:ascii="Century Gothic" w:hAnsi="Century Gothic"/>
        </w:rPr>
        <w:tab/>
        <w:t>Las empresas necesitan innovar para mantener una posición competitiva en el mercado. Si bien en las dos primeras ediciones del Manual de Oslo el enfoque de innovación se centraba en el proceso y los productos, en la tercera edición se incluyen las innovaciones organizativas y las innovaciones en mercadotecnia.</w:t>
      </w:r>
    </w:p>
    <w:p w:rsidR="00AE5C99" w:rsidRPr="007A351C" w:rsidRDefault="00AE5C99" w:rsidP="00AE5C99">
      <w:pPr>
        <w:jc w:val="both"/>
        <w:rPr>
          <w:rFonts w:ascii="Century Gothic" w:hAnsi="Century Gothic"/>
        </w:rPr>
      </w:pPr>
      <w:r w:rsidRPr="007A351C">
        <w:rPr>
          <w:rFonts w:ascii="Century Gothic" w:hAnsi="Century Gothic"/>
        </w:rPr>
        <w:tab/>
        <w:t xml:space="preserve">La Real Academia Española define innovación como “acción y efecto </w:t>
      </w:r>
      <w:r>
        <w:rPr>
          <w:rFonts w:ascii="Century Gothic" w:hAnsi="Century Gothic"/>
        </w:rPr>
        <w:t xml:space="preserve">de </w:t>
      </w:r>
      <w:r w:rsidRPr="007A351C">
        <w:rPr>
          <w:rFonts w:ascii="Century Gothic" w:hAnsi="Century Gothic"/>
        </w:rPr>
        <w:t>innovar. Creación o modificación de un producto, y su introducción en un mercado”.</w:t>
      </w:r>
      <w:bookmarkStart w:id="0" w:name="0_2"/>
      <w:bookmarkEnd w:id="0"/>
      <w:r w:rsidRPr="007A351C">
        <w:t xml:space="preserve"> </w:t>
      </w:r>
      <w:r w:rsidRPr="007A351C">
        <w:rPr>
          <w:rFonts w:ascii="Century Gothic" w:hAnsi="Century Gothic"/>
        </w:rPr>
        <w:t>[ Real Academia Española 2007]</w:t>
      </w:r>
    </w:p>
    <w:p w:rsidR="00AE5C99" w:rsidRPr="007A351C" w:rsidRDefault="00AE5C99" w:rsidP="00AE5C99">
      <w:pPr>
        <w:jc w:val="both"/>
        <w:rPr>
          <w:rFonts w:ascii="Century Gothic" w:hAnsi="Century Gothic"/>
        </w:rPr>
      </w:pPr>
      <w:r w:rsidRPr="007A351C">
        <w:rPr>
          <w:rFonts w:ascii="Century Gothic" w:hAnsi="Century Gothic"/>
        </w:rPr>
        <w:tab/>
        <w:t>La definición más extendida y aceptada es: “una innovación es la introducción de un nuevo, o significativamente mejorado, producto (bien o servicio), de un proceso, de un nuevo método de comercialización o de un nuevo método</w:t>
      </w:r>
      <w:r>
        <w:rPr>
          <w:rFonts w:ascii="Century Gothic" w:hAnsi="Century Gothic"/>
        </w:rPr>
        <w:t xml:space="preserve"> organizativo,…</w:t>
      </w:r>
      <w:r w:rsidRPr="007A351C">
        <w:rPr>
          <w:rFonts w:ascii="Century Gothic" w:hAnsi="Century Gothic"/>
        </w:rPr>
        <w:t>”. [Organización de Cooperación y Desarrollo Económicos 2006; OECD, Eurostar.2005.</w:t>
      </w:r>
      <w:r w:rsidRPr="007A351C">
        <w:rPr>
          <w:rFonts w:ascii="Century Gothic" w:hAnsi="Century Gothic"/>
          <w:i/>
          <w:iCs/>
        </w:rPr>
        <w:t>Manual de Oslo. Guía para la recogida e interpretación de datos sobre innovación.</w:t>
      </w:r>
      <w:r w:rsidRPr="007A351C">
        <w:rPr>
          <w:rFonts w:ascii="Century Gothic" w:hAnsi="Century Gothic"/>
        </w:rPr>
        <w:t xml:space="preserve"> 3ª </w:t>
      </w:r>
      <w:proofErr w:type="spellStart"/>
      <w:r w:rsidRPr="007A351C">
        <w:rPr>
          <w:rFonts w:ascii="Century Gothic" w:hAnsi="Century Gothic"/>
        </w:rPr>
        <w:t>ed</w:t>
      </w:r>
      <w:proofErr w:type="spellEnd"/>
      <w:r w:rsidRPr="007A351C">
        <w:rPr>
          <w:rFonts w:ascii="Century Gothic" w:hAnsi="Century Gothic"/>
        </w:rPr>
        <w:t>].</w:t>
      </w:r>
    </w:p>
    <w:p w:rsidR="00AE5C99" w:rsidRPr="007A351C" w:rsidRDefault="00AE5C99" w:rsidP="00AE5C99">
      <w:pPr>
        <w:jc w:val="both"/>
        <w:rPr>
          <w:rFonts w:ascii="Century Gothic" w:hAnsi="Century Gothic"/>
        </w:rPr>
      </w:pPr>
      <w:r w:rsidRPr="007A351C">
        <w:rPr>
          <w:rFonts w:ascii="Century Gothic" w:hAnsi="Century Gothic"/>
        </w:rPr>
        <w:tab/>
        <w:t>Podemos decir por tanto</w:t>
      </w:r>
      <w:r>
        <w:rPr>
          <w:rFonts w:ascii="Century Gothic" w:hAnsi="Century Gothic"/>
        </w:rPr>
        <w:t>,</w:t>
      </w:r>
      <w:r w:rsidRPr="007A351C">
        <w:rPr>
          <w:rFonts w:ascii="Century Gothic" w:hAnsi="Century Gothic"/>
        </w:rPr>
        <w:t xml:space="preserve"> que innovar</w:t>
      </w:r>
      <w:r>
        <w:rPr>
          <w:rFonts w:ascii="Century Gothic" w:hAnsi="Century Gothic"/>
        </w:rPr>
        <w:t>,</w:t>
      </w:r>
      <w:r w:rsidRPr="007A351C">
        <w:rPr>
          <w:rFonts w:ascii="Century Gothic" w:hAnsi="Century Gothic"/>
        </w:rPr>
        <w:t xml:space="preserve"> es introducir algo nuevo o sustancialmente mejorado en una empresa, en alguno de los cuatro apartados que considera el documento de referencia en innovación [Manual de Oslo, 2005]. El desarrollo de una innovación puede llevar aparejado otra serie de actividades imprescindibles para llegar al desarrollo de la innovación en sí misma. Incluyen por tanto las actividades de </w:t>
      </w:r>
      <w:proofErr w:type="spellStart"/>
      <w:r w:rsidRPr="007A351C">
        <w:rPr>
          <w:rFonts w:ascii="Century Gothic" w:hAnsi="Century Gothic"/>
        </w:rPr>
        <w:t>I+D+i</w:t>
      </w:r>
      <w:proofErr w:type="spellEnd"/>
      <w:r w:rsidRPr="007A351C">
        <w:rPr>
          <w:rFonts w:ascii="Century Gothic" w:hAnsi="Century Gothic"/>
        </w:rPr>
        <w:t xml:space="preserve">. Los distintos organismos gubernamentales ofrecen numerosas subvenciones a estas actividades de </w:t>
      </w:r>
      <w:proofErr w:type="spellStart"/>
      <w:r w:rsidRPr="007A351C">
        <w:rPr>
          <w:rFonts w:ascii="Century Gothic" w:hAnsi="Century Gothic"/>
        </w:rPr>
        <w:t>I+D+i</w:t>
      </w:r>
      <w:proofErr w:type="spellEnd"/>
      <w:r w:rsidRPr="007A351C">
        <w:rPr>
          <w:rFonts w:ascii="Century Gothic" w:hAnsi="Century Gothic"/>
        </w:rPr>
        <w:t xml:space="preserve">, ya que en ellas se encuentra un potencial para el desarrollo de los países. </w:t>
      </w:r>
    </w:p>
    <w:p w:rsidR="00AE5C99" w:rsidRPr="007A351C" w:rsidRDefault="00AE5C99" w:rsidP="00AE5C99">
      <w:pPr>
        <w:jc w:val="both"/>
        <w:rPr>
          <w:rFonts w:ascii="Century Gothic" w:hAnsi="Century Gothic"/>
        </w:rPr>
      </w:pPr>
      <w:r w:rsidRPr="007A351C">
        <w:rPr>
          <w:rFonts w:ascii="Century Gothic" w:hAnsi="Century Gothic"/>
        </w:rPr>
        <w:tab/>
        <w:t>En la práctica las innovaciones no suelen darse asiladas, en muchos casos se dan de modo conjunto, bien porque unas inducen a otras, o bien porque para la puesta en práctica de una idea innovadora, es necesario apoyarse en otras innovaciones adyacentes.</w:t>
      </w:r>
    </w:p>
    <w:p w:rsidR="00AE5C99" w:rsidRPr="007A351C" w:rsidRDefault="00AE5C99" w:rsidP="00AE5C99">
      <w:pPr>
        <w:jc w:val="both"/>
        <w:rPr>
          <w:rFonts w:ascii="Century Gothic" w:hAnsi="Century Gothic"/>
        </w:rPr>
      </w:pPr>
      <w:r w:rsidRPr="007A351C">
        <w:rPr>
          <w:rFonts w:ascii="Century Gothic" w:hAnsi="Century Gothic"/>
        </w:rPr>
        <w:tab/>
        <w:t xml:space="preserve"> Según el Manual de Oslo se distinguen dos tipos de empresas innovadoras: aquellas que introducen una innovación tras un proceso destinado a tal fin y aquellas que mejoran continuamente sus producto, procesos u operaciones. [Organización de Cooperación y Desarrollo Económicos 2006; OECD, Eurostar.2005.</w:t>
      </w:r>
      <w:r w:rsidRPr="007A351C">
        <w:rPr>
          <w:rFonts w:ascii="Century Gothic" w:hAnsi="Century Gothic"/>
          <w:i/>
          <w:iCs/>
        </w:rPr>
        <w:t>Manual de Oslo. Guía para la recogida e interpretación de datos sobre innovación.</w:t>
      </w:r>
      <w:r w:rsidRPr="007A351C">
        <w:rPr>
          <w:rFonts w:ascii="Century Gothic" w:hAnsi="Century Gothic"/>
        </w:rPr>
        <w:t xml:space="preserve"> 3ª </w:t>
      </w:r>
      <w:proofErr w:type="spellStart"/>
      <w:r w:rsidRPr="007A351C">
        <w:rPr>
          <w:rFonts w:ascii="Century Gothic" w:hAnsi="Century Gothic"/>
        </w:rPr>
        <w:t>ed</w:t>
      </w:r>
      <w:proofErr w:type="spellEnd"/>
      <w:r w:rsidRPr="007A351C">
        <w:rPr>
          <w:rFonts w:ascii="Century Gothic" w:hAnsi="Century Gothic"/>
        </w:rPr>
        <w:t xml:space="preserve">]. </w:t>
      </w:r>
    </w:p>
    <w:p w:rsidR="00AE5C99" w:rsidRPr="007A351C" w:rsidRDefault="00AE5C99" w:rsidP="00AE5C99">
      <w:pPr>
        <w:jc w:val="both"/>
        <w:rPr>
          <w:rFonts w:ascii="Century Gothic" w:hAnsi="Century Gothic"/>
        </w:rPr>
      </w:pPr>
      <w:r w:rsidRPr="007A351C">
        <w:rPr>
          <w:rFonts w:ascii="Century Gothic" w:hAnsi="Century Gothic"/>
        </w:rPr>
        <w:lastRenderedPageBreak/>
        <w:tab/>
        <w:t xml:space="preserve">La definición de los cuatro tipos de innovaciones recogidas en el Manual de Oslo se dan a continuación. </w:t>
      </w:r>
    </w:p>
    <w:p w:rsidR="00AE5C99" w:rsidRPr="007A351C" w:rsidRDefault="00AE5C99" w:rsidP="00AE5C99">
      <w:pPr>
        <w:jc w:val="both"/>
        <w:rPr>
          <w:rFonts w:ascii="Century Gothic" w:hAnsi="Century Gothic"/>
        </w:rPr>
      </w:pPr>
      <w:r w:rsidRPr="007A351C">
        <w:rPr>
          <w:rFonts w:ascii="Century Gothic" w:hAnsi="Century Gothic"/>
        </w:rPr>
        <w:tab/>
        <w:t xml:space="preserve">Una </w:t>
      </w:r>
      <w:r w:rsidRPr="007A351C">
        <w:rPr>
          <w:rFonts w:ascii="Century Gothic" w:hAnsi="Century Gothic"/>
          <w:b/>
          <w:bCs/>
        </w:rPr>
        <w:t>innovación de producto</w:t>
      </w:r>
      <w:r w:rsidRPr="007A351C">
        <w:rPr>
          <w:rFonts w:ascii="Century Gothic" w:hAnsi="Century Gothic"/>
        </w:rPr>
        <w:t xml:space="preserve"> será aquella en la que o bien se lance un  producto completamente nuevo o con alguna mejoría sustancial sobre el existente, ya sea en el diseño del mismo o bien en el empleo del citado producto.</w:t>
      </w:r>
    </w:p>
    <w:p w:rsidR="00AE5C99" w:rsidRPr="007A351C" w:rsidRDefault="00AE5C99" w:rsidP="00AE5C99">
      <w:pPr>
        <w:jc w:val="both"/>
        <w:rPr>
          <w:rFonts w:ascii="Century Gothic" w:hAnsi="Century Gothic"/>
        </w:rPr>
      </w:pPr>
      <w:r w:rsidRPr="007A351C">
        <w:rPr>
          <w:rFonts w:ascii="Century Gothic" w:hAnsi="Century Gothic"/>
        </w:rPr>
        <w:tab/>
        <w:t xml:space="preserve">Una </w:t>
      </w:r>
      <w:r w:rsidRPr="007A351C">
        <w:rPr>
          <w:rFonts w:ascii="Century Gothic" w:hAnsi="Century Gothic"/>
          <w:b/>
          <w:bCs/>
        </w:rPr>
        <w:t>innovación de proceso</w:t>
      </w:r>
      <w:r w:rsidRPr="007A351C">
        <w:rPr>
          <w:rFonts w:ascii="Century Gothic" w:hAnsi="Century Gothic"/>
        </w:rPr>
        <w:t xml:space="preserve"> será el caso de cambio en un proceso productivo o de distribución.</w:t>
      </w:r>
    </w:p>
    <w:p w:rsidR="00AE5C99" w:rsidRPr="007A351C" w:rsidRDefault="00AE5C99" w:rsidP="00AE5C99">
      <w:pPr>
        <w:jc w:val="both"/>
        <w:rPr>
          <w:rFonts w:ascii="Century Gothic" w:hAnsi="Century Gothic"/>
        </w:rPr>
      </w:pPr>
      <w:r w:rsidRPr="007A351C">
        <w:rPr>
          <w:rFonts w:ascii="Century Gothic" w:hAnsi="Century Gothic"/>
        </w:rPr>
        <w:tab/>
        <w:t xml:space="preserve">Una </w:t>
      </w:r>
      <w:r w:rsidRPr="007A351C">
        <w:rPr>
          <w:rFonts w:ascii="Century Gothic" w:hAnsi="Century Gothic"/>
          <w:b/>
          <w:bCs/>
        </w:rPr>
        <w:t>innovación de mercadotecnia</w:t>
      </w:r>
      <w:r w:rsidRPr="007A351C">
        <w:rPr>
          <w:rFonts w:ascii="Century Gothic" w:hAnsi="Century Gothic"/>
        </w:rPr>
        <w:t xml:space="preserve"> será cuando sufran cambios los procesos de relación entre el cliente y la empresa (envasado del productos, forma de comercializarlo,…). </w:t>
      </w:r>
    </w:p>
    <w:p w:rsidR="00AE5C99" w:rsidRPr="007A351C" w:rsidRDefault="00AE5C99" w:rsidP="00AE5C99">
      <w:pPr>
        <w:jc w:val="both"/>
        <w:rPr>
          <w:rFonts w:ascii="Century Gothic" w:hAnsi="Century Gothic"/>
          <w:noProof/>
        </w:rPr>
      </w:pPr>
      <w:r w:rsidRPr="007A351C">
        <w:rPr>
          <w:rFonts w:ascii="Century Gothic" w:hAnsi="Century Gothic"/>
          <w:noProof/>
        </w:rPr>
        <w:tab/>
        <w:t xml:space="preserve">Una </w:t>
      </w:r>
      <w:r w:rsidRPr="007A351C">
        <w:rPr>
          <w:rFonts w:ascii="Century Gothic" w:hAnsi="Century Gothic"/>
          <w:b/>
          <w:bCs/>
          <w:noProof/>
        </w:rPr>
        <w:t>innovación de organziación</w:t>
      </w:r>
      <w:r w:rsidRPr="007A351C">
        <w:rPr>
          <w:rFonts w:ascii="Century Gothic" w:hAnsi="Century Gothic"/>
          <w:noProof/>
        </w:rPr>
        <w:t xml:space="preserve"> será la modificación de los métodos de trabajo ya sean internos o con otras empresas.</w:t>
      </w:r>
    </w:p>
    <w:p w:rsidR="00AE5C99" w:rsidRPr="007A351C" w:rsidRDefault="00AE5C99" w:rsidP="00AE5C99">
      <w:pPr>
        <w:jc w:val="both"/>
        <w:rPr>
          <w:rFonts w:ascii="Century Gothic" w:hAnsi="Century Gothic"/>
        </w:rPr>
      </w:pPr>
      <w:r w:rsidRPr="007A351C">
        <w:rPr>
          <w:rFonts w:ascii="Century Gothic" w:hAnsi="Century Gothic"/>
        </w:rPr>
        <w:tab/>
        <w:t>[Organización de Cooperación y Desarrollo Económicos 2006; OECD, Eurostar.2005.</w:t>
      </w:r>
      <w:r w:rsidRPr="007A351C">
        <w:rPr>
          <w:rFonts w:ascii="Century Gothic" w:hAnsi="Century Gothic"/>
          <w:i/>
          <w:iCs/>
        </w:rPr>
        <w:t>Manual de Oslo. Guía para la recogida e interpretación de datos sobre innovación.</w:t>
      </w:r>
      <w:r w:rsidRPr="007A351C">
        <w:rPr>
          <w:rFonts w:ascii="Century Gothic" w:hAnsi="Century Gothic"/>
        </w:rPr>
        <w:t xml:space="preserve"> 3ª </w:t>
      </w:r>
      <w:proofErr w:type="spellStart"/>
      <w:r w:rsidRPr="007A351C">
        <w:rPr>
          <w:rFonts w:ascii="Century Gothic" w:hAnsi="Century Gothic"/>
        </w:rPr>
        <w:t>ed</w:t>
      </w:r>
      <w:proofErr w:type="spellEnd"/>
      <w:r w:rsidRPr="007A351C">
        <w:rPr>
          <w:rFonts w:ascii="Century Gothic" w:hAnsi="Century Gothic"/>
        </w:rPr>
        <w:t xml:space="preserve">]. </w:t>
      </w:r>
    </w:p>
    <w:p w:rsidR="00AE5C99" w:rsidRPr="007A351C" w:rsidRDefault="00AE5C99" w:rsidP="00AE5C99">
      <w:pPr>
        <w:pStyle w:val="Prrafodelista"/>
        <w:ind w:left="142" w:firstLine="696"/>
        <w:jc w:val="both"/>
        <w:rPr>
          <w:rFonts w:ascii="Century Gothic" w:hAnsi="Century Gothic"/>
          <w:noProof/>
        </w:rPr>
      </w:pPr>
      <w:r w:rsidRPr="007A351C">
        <w:rPr>
          <w:rFonts w:ascii="Century Gothic" w:hAnsi="Century Gothic"/>
          <w:noProof/>
        </w:rPr>
        <w:t>Son por tanto empresas innovadoras aquellas que introducen una mejora en su mercado de referencia. Las innovaciones en las empresas son una necesidad para que las empresas continúen en el mercado con éxito. Esto no es un tema nuevo, fue ya puesto de manifiesto por economistas tan destacados como Smith (La Riqueza de las Naciones) y Schumpeter (Teoría del Desenvolvimiento Económico). Para Schumpeter la economía requiere renovación continua, siendo así la innovación el factor de producción más importante. Las innovaciones pasan por la transmisión de los conocimientos en ideas que se plasmen en nuevos productos o procesos, nuevos métodos organizativos o innovadores medios de mercadotecnia, transformando los conocimientos técnicos en conocimientos económicos.</w:t>
      </w:r>
    </w:p>
    <w:p w:rsidR="00AE5C99" w:rsidRPr="007A351C" w:rsidRDefault="00AE5C99" w:rsidP="00AE5C99">
      <w:pPr>
        <w:jc w:val="both"/>
        <w:rPr>
          <w:rFonts w:ascii="Century Gothic" w:hAnsi="Century Gothic"/>
          <w:noProof/>
        </w:rPr>
      </w:pPr>
      <w:r w:rsidRPr="007A351C">
        <w:rPr>
          <w:rFonts w:ascii="Century Gothic" w:hAnsi="Century Gothic"/>
          <w:noProof/>
        </w:rPr>
        <w:tab/>
        <w:t>Una empresa que innova consigue una ventaja en el mercado en el que compite.</w:t>
      </w:r>
    </w:p>
    <w:p w:rsidR="00AE5C99" w:rsidRPr="007A351C" w:rsidRDefault="00AE5C99" w:rsidP="00AE5C99">
      <w:pPr>
        <w:jc w:val="both"/>
        <w:rPr>
          <w:rFonts w:ascii="Century Gothic" w:hAnsi="Century Gothic"/>
          <w:noProof/>
        </w:rPr>
      </w:pPr>
      <w:r w:rsidRPr="007A351C">
        <w:rPr>
          <w:rFonts w:ascii="Century Gothic" w:hAnsi="Century Gothic"/>
          <w:noProof/>
        </w:rPr>
        <w:tab/>
        <w:t xml:space="preserve">El proceso de innovación es muy complejo. Para poder comenzar este proceso se debe tener una primera idea, una etapa de creatividad inicial. Esta idea llevada a la práctica será la que de lugar a la innovación. </w:t>
      </w:r>
    </w:p>
    <w:p w:rsidR="00AE5C99" w:rsidRPr="007A351C" w:rsidRDefault="00AE5C99" w:rsidP="00AE5C99">
      <w:pPr>
        <w:pStyle w:val="Prrafodelista"/>
        <w:ind w:left="142" w:firstLine="696"/>
        <w:jc w:val="both"/>
        <w:rPr>
          <w:rFonts w:ascii="Century Gothic" w:hAnsi="Century Gothic"/>
          <w:noProof/>
        </w:rPr>
      </w:pPr>
      <w:r w:rsidRPr="007A351C">
        <w:rPr>
          <w:rFonts w:ascii="Century Gothic" w:hAnsi="Century Gothic"/>
          <w:noProof/>
        </w:rPr>
        <w:t>Esta idea puede venir de:</w:t>
      </w:r>
    </w:p>
    <w:p w:rsidR="00AE5C99" w:rsidRPr="007A351C" w:rsidRDefault="00AE5C99" w:rsidP="00AE5C99">
      <w:pPr>
        <w:pStyle w:val="Prrafodelista"/>
        <w:numPr>
          <w:ilvl w:val="0"/>
          <w:numId w:val="1"/>
        </w:numPr>
        <w:ind w:left="993"/>
        <w:jc w:val="both"/>
        <w:rPr>
          <w:rFonts w:ascii="Century Gothic" w:hAnsi="Century Gothic"/>
          <w:noProof/>
        </w:rPr>
      </w:pPr>
      <w:r w:rsidRPr="007A351C">
        <w:rPr>
          <w:rFonts w:ascii="Century Gothic" w:hAnsi="Century Gothic"/>
          <w:noProof/>
        </w:rPr>
        <w:t>Detección de un descenso en la demanda (observación del mercado, y detección de la necesidad de adaptarse a las nueva demanda).</w:t>
      </w:r>
    </w:p>
    <w:p w:rsidR="00AE5C99" w:rsidRPr="007A351C" w:rsidRDefault="00AE5C99" w:rsidP="00AE5C99">
      <w:pPr>
        <w:pStyle w:val="Prrafodelista"/>
        <w:numPr>
          <w:ilvl w:val="0"/>
          <w:numId w:val="1"/>
        </w:numPr>
        <w:ind w:left="993"/>
        <w:jc w:val="both"/>
        <w:rPr>
          <w:rFonts w:ascii="Century Gothic" w:hAnsi="Century Gothic"/>
          <w:noProof/>
        </w:rPr>
      </w:pPr>
      <w:r w:rsidRPr="007A351C">
        <w:rPr>
          <w:rFonts w:ascii="Century Gothic" w:hAnsi="Century Gothic"/>
          <w:noProof/>
        </w:rPr>
        <w:t>Consulta específica de un cliente (el cliente pone de manifiesto sus necesidades, la empresa se adapta a estas necesidades).</w:t>
      </w:r>
    </w:p>
    <w:p w:rsidR="00AE5C99" w:rsidRPr="007A351C" w:rsidRDefault="00AE5C99" w:rsidP="00AE5C99">
      <w:pPr>
        <w:pStyle w:val="Prrafodelista"/>
        <w:numPr>
          <w:ilvl w:val="0"/>
          <w:numId w:val="1"/>
        </w:numPr>
        <w:ind w:left="993"/>
        <w:jc w:val="both"/>
        <w:rPr>
          <w:rFonts w:ascii="Century Gothic" w:hAnsi="Century Gothic"/>
          <w:noProof/>
        </w:rPr>
      </w:pPr>
      <w:r w:rsidRPr="007A351C">
        <w:rPr>
          <w:rFonts w:ascii="Century Gothic" w:hAnsi="Century Gothic"/>
          <w:noProof/>
        </w:rPr>
        <w:t>Percepción de una oportunidad del mercado.</w:t>
      </w:r>
    </w:p>
    <w:p w:rsidR="00AE5C99" w:rsidRPr="007A351C" w:rsidRDefault="00AE5C99" w:rsidP="00AE5C99">
      <w:pPr>
        <w:pStyle w:val="Prrafodelista"/>
        <w:numPr>
          <w:ilvl w:val="0"/>
          <w:numId w:val="1"/>
        </w:numPr>
        <w:ind w:left="993"/>
        <w:jc w:val="both"/>
        <w:rPr>
          <w:rFonts w:ascii="Century Gothic" w:hAnsi="Century Gothic"/>
          <w:noProof/>
        </w:rPr>
      </w:pPr>
      <w:r w:rsidRPr="007A351C">
        <w:rPr>
          <w:rFonts w:ascii="Century Gothic" w:hAnsi="Century Gothic"/>
          <w:noProof/>
        </w:rPr>
        <w:lastRenderedPageBreak/>
        <w:t>Resultado de una investigación.</w:t>
      </w:r>
    </w:p>
    <w:p w:rsidR="00AE5C99" w:rsidRPr="007A351C" w:rsidRDefault="00AE5C99" w:rsidP="00AE5C99">
      <w:pPr>
        <w:pStyle w:val="Prrafodelista"/>
        <w:numPr>
          <w:ilvl w:val="0"/>
          <w:numId w:val="1"/>
        </w:numPr>
        <w:ind w:left="993"/>
        <w:jc w:val="both"/>
        <w:rPr>
          <w:rFonts w:ascii="Century Gothic" w:hAnsi="Century Gothic"/>
          <w:noProof/>
        </w:rPr>
      </w:pPr>
      <w:r w:rsidRPr="007A351C">
        <w:rPr>
          <w:rFonts w:ascii="Century Gothic" w:hAnsi="Century Gothic"/>
          <w:noProof/>
        </w:rPr>
        <w:t>Aplicación de nuevas tecnologías.</w:t>
      </w:r>
    </w:p>
    <w:p w:rsidR="00AE5C99" w:rsidRPr="007A351C" w:rsidRDefault="00AE5C99" w:rsidP="00AE5C99">
      <w:pPr>
        <w:pStyle w:val="Prrafodelista"/>
        <w:numPr>
          <w:ilvl w:val="0"/>
          <w:numId w:val="1"/>
        </w:numPr>
        <w:ind w:left="993"/>
        <w:jc w:val="both"/>
        <w:rPr>
          <w:rFonts w:ascii="Century Gothic" w:hAnsi="Century Gothic"/>
          <w:noProof/>
        </w:rPr>
      </w:pPr>
      <w:r w:rsidRPr="007A351C">
        <w:rPr>
          <w:rFonts w:ascii="Century Gothic" w:hAnsi="Century Gothic"/>
          <w:noProof/>
        </w:rPr>
        <w:t>Pensamiento creativo.</w:t>
      </w:r>
    </w:p>
    <w:p w:rsidR="00AE5C99" w:rsidRPr="007A351C" w:rsidRDefault="00AE5C99" w:rsidP="00AE5C99">
      <w:pPr>
        <w:jc w:val="both"/>
        <w:rPr>
          <w:rFonts w:ascii="Century Gothic" w:hAnsi="Century Gothic"/>
          <w:noProof/>
        </w:rPr>
      </w:pPr>
      <w:r w:rsidRPr="007A351C">
        <w:rPr>
          <w:rFonts w:ascii="Century Gothic" w:hAnsi="Century Gothic"/>
          <w:noProof/>
        </w:rPr>
        <w:tab/>
        <w:t>Fuente: UNE 66920-1, Sistemas de Gestión de Diseño, parte 1.</w:t>
      </w:r>
    </w:p>
    <w:p w:rsidR="00AE5C99" w:rsidRPr="007A351C" w:rsidRDefault="00AE5C99" w:rsidP="00AE5C99">
      <w:pPr>
        <w:jc w:val="both"/>
        <w:rPr>
          <w:rFonts w:ascii="Century Gothic" w:hAnsi="Century Gothic"/>
          <w:noProof/>
        </w:rPr>
      </w:pPr>
      <w:r w:rsidRPr="007A351C">
        <w:rPr>
          <w:rFonts w:ascii="Century Gothic" w:hAnsi="Century Gothic"/>
          <w:noProof/>
        </w:rPr>
        <w:tab/>
        <w:t>No todas las ideas que nacen en una persona u organización pueden dar lugar a innovaciones. Una vez que se ha generado una idea, será necesario establecer un sistema por el cual la organización obtengan los recursos necesarios para el desarrollo de la misma. En este caso los recursos necesarios serán los conocimientos. Necesitará por por tanto un sistema de gestión de conocimientos.</w:t>
      </w:r>
    </w:p>
    <w:p w:rsidR="00AE5C99" w:rsidRPr="007A351C" w:rsidRDefault="00AE5C99" w:rsidP="00AE5C99">
      <w:pPr>
        <w:ind w:left="426"/>
        <w:jc w:val="both"/>
        <w:rPr>
          <w:rFonts w:ascii="Century Gothic" w:hAnsi="Century Gothic"/>
          <w:noProof/>
        </w:rPr>
      </w:pPr>
      <w:r w:rsidRPr="007A351C">
        <w:rPr>
          <w:rFonts w:ascii="Century Gothic" w:hAnsi="Century Gothic"/>
          <w:noProof/>
        </w:rPr>
        <w:t>“</w:t>
      </w:r>
      <w:r w:rsidRPr="007A351C">
        <w:rPr>
          <w:rFonts w:ascii="Century Gothic" w:hAnsi="Century Gothic"/>
          <w:i/>
          <w:iCs/>
          <w:noProof/>
        </w:rPr>
        <w:t>… una organización que evoluciona continuamente es una organización que aprende. Una organización que aprende transforma el flujo de información en un stock de conocimiento y, al mismo tiempo, difunde ésta a otros departamentos y estimula la autoorganización  sistemática de la información</w:t>
      </w:r>
      <w:r w:rsidRPr="007A351C">
        <w:rPr>
          <w:rFonts w:ascii="Century Gothic" w:hAnsi="Century Gothic"/>
          <w:noProof/>
        </w:rPr>
        <w:t>” (Nonaka, I., 1988:70).</w:t>
      </w:r>
    </w:p>
    <w:p w:rsidR="00AE5C99" w:rsidRPr="007A351C" w:rsidRDefault="00AE5C99" w:rsidP="00AE5C99">
      <w:pPr>
        <w:tabs>
          <w:tab w:val="left" w:pos="708"/>
          <w:tab w:val="left" w:pos="1416"/>
          <w:tab w:val="left" w:pos="2124"/>
          <w:tab w:val="left" w:pos="2832"/>
          <w:tab w:val="left" w:pos="3540"/>
          <w:tab w:val="left" w:pos="4248"/>
          <w:tab w:val="left" w:pos="4956"/>
          <w:tab w:val="left" w:pos="5664"/>
          <w:tab w:val="left" w:pos="6372"/>
          <w:tab w:val="left" w:pos="7545"/>
        </w:tabs>
        <w:jc w:val="both"/>
        <w:rPr>
          <w:rFonts w:ascii="Century Gothic" w:hAnsi="Century Gothic"/>
          <w:noProof/>
        </w:rPr>
      </w:pPr>
      <w:r w:rsidRPr="007A351C">
        <w:rPr>
          <w:rFonts w:ascii="Century Gothic" w:hAnsi="Century Gothic"/>
          <w:noProof/>
        </w:rPr>
        <w:tab/>
        <w:t>De esta definción de Nonaka podemos ver la necesidad de las organizaciones innovadoras de gestionar el stock de conocimientos para que estos generen valor a largo plazo. Esta gestión se deberá realizar a través de procesos de conversión del conocimiento.</w:t>
      </w:r>
    </w:p>
    <w:p w:rsidR="00AE5C99" w:rsidRPr="007A351C" w:rsidRDefault="00AE5C99" w:rsidP="00AE5C99">
      <w:pPr>
        <w:tabs>
          <w:tab w:val="left" w:pos="708"/>
          <w:tab w:val="left" w:pos="1416"/>
          <w:tab w:val="left" w:pos="2124"/>
          <w:tab w:val="left" w:pos="2832"/>
          <w:tab w:val="left" w:pos="3540"/>
          <w:tab w:val="left" w:pos="4248"/>
          <w:tab w:val="left" w:pos="4956"/>
          <w:tab w:val="left" w:pos="5664"/>
          <w:tab w:val="left" w:pos="6372"/>
          <w:tab w:val="left" w:pos="7545"/>
        </w:tabs>
        <w:jc w:val="both"/>
        <w:rPr>
          <w:rFonts w:ascii="Century Gothic" w:hAnsi="Century Gothic"/>
          <w:noProof/>
        </w:rPr>
      </w:pPr>
      <w:r w:rsidRPr="007A351C">
        <w:rPr>
          <w:rFonts w:ascii="Century Gothic" w:hAnsi="Century Gothic"/>
          <w:noProof/>
        </w:rPr>
        <w:tab/>
        <w:t>Michael Polanyi identificó un conocimiento en posesión de las personas. (conocimiento tácito). Se entiende por tanto como conocimiento tácito, aquel que las personas poseen, sin estar cifrado para ser entendido por los demás.</w:t>
      </w:r>
    </w:p>
    <w:p w:rsidR="00AE5C99" w:rsidRPr="007A351C" w:rsidRDefault="00AE5C99" w:rsidP="00AE5C99">
      <w:pPr>
        <w:tabs>
          <w:tab w:val="left" w:pos="708"/>
          <w:tab w:val="left" w:pos="1416"/>
          <w:tab w:val="left" w:pos="2124"/>
          <w:tab w:val="left" w:pos="2832"/>
          <w:tab w:val="left" w:pos="3540"/>
          <w:tab w:val="left" w:pos="4248"/>
          <w:tab w:val="left" w:pos="4956"/>
          <w:tab w:val="left" w:pos="5664"/>
          <w:tab w:val="left" w:pos="6372"/>
          <w:tab w:val="left" w:pos="7545"/>
        </w:tabs>
        <w:jc w:val="both"/>
        <w:rPr>
          <w:rFonts w:ascii="Century Gothic" w:hAnsi="Century Gothic"/>
          <w:noProof/>
        </w:rPr>
      </w:pPr>
      <w:r w:rsidRPr="007A351C">
        <w:rPr>
          <w:rFonts w:ascii="Century Gothic" w:hAnsi="Century Gothic"/>
          <w:noProof/>
        </w:rPr>
        <w:tab/>
        <w:t xml:space="preserve">Michael Polanyi (1967) escribió en </w:t>
      </w:r>
      <w:proofErr w:type="spellStart"/>
      <w:r w:rsidRPr="007A351C">
        <w:rPr>
          <w:rFonts w:ascii="Century Gothic" w:hAnsi="Century Gothic"/>
          <w:i/>
          <w:iCs/>
        </w:rPr>
        <w:t>The</w:t>
      </w:r>
      <w:proofErr w:type="spellEnd"/>
      <w:r w:rsidRPr="007A351C">
        <w:rPr>
          <w:rFonts w:ascii="Century Gothic" w:hAnsi="Century Gothic"/>
          <w:i/>
          <w:iCs/>
        </w:rPr>
        <w:t xml:space="preserve"> </w:t>
      </w:r>
      <w:proofErr w:type="spellStart"/>
      <w:r w:rsidRPr="007A351C">
        <w:rPr>
          <w:rFonts w:ascii="Century Gothic" w:hAnsi="Century Gothic"/>
          <w:i/>
          <w:iCs/>
        </w:rPr>
        <w:t>Tacit</w:t>
      </w:r>
      <w:proofErr w:type="spellEnd"/>
      <w:r w:rsidRPr="007A351C">
        <w:rPr>
          <w:rFonts w:ascii="Century Gothic" w:hAnsi="Century Gothic"/>
          <w:i/>
          <w:iCs/>
        </w:rPr>
        <w:t xml:space="preserve"> </w:t>
      </w:r>
      <w:proofErr w:type="spellStart"/>
      <w:r w:rsidRPr="007A351C">
        <w:rPr>
          <w:rFonts w:ascii="Century Gothic" w:hAnsi="Century Gothic"/>
          <w:i/>
          <w:iCs/>
        </w:rPr>
        <w:t>Dimension</w:t>
      </w:r>
      <w:proofErr w:type="spellEnd"/>
      <w:r w:rsidRPr="007A351C">
        <w:rPr>
          <w:rFonts w:ascii="Century Gothic" w:hAnsi="Century Gothic"/>
          <w:i/>
          <w:iCs/>
        </w:rPr>
        <w:t xml:space="preserve">: </w:t>
      </w:r>
    </w:p>
    <w:p w:rsidR="00AE5C99" w:rsidRPr="007A351C" w:rsidRDefault="00AE5C99" w:rsidP="00AE5C99">
      <w:pPr>
        <w:jc w:val="both"/>
        <w:rPr>
          <w:rFonts w:ascii="Century Gothic" w:hAnsi="Century Gothic"/>
          <w:i/>
          <w:iCs/>
        </w:rPr>
      </w:pPr>
      <w:r w:rsidRPr="007A351C">
        <w:rPr>
          <w:rFonts w:ascii="Century Gothic" w:hAnsi="Century Gothic"/>
          <w:i/>
          <w:iCs/>
        </w:rPr>
        <w:tab/>
        <w:t>“Conocemos más de lo que podemos decir”.</w:t>
      </w:r>
    </w:p>
    <w:p w:rsidR="00AE5C99" w:rsidRPr="007A351C" w:rsidRDefault="00AE5C99" w:rsidP="00AE5C99">
      <w:pPr>
        <w:jc w:val="both"/>
        <w:rPr>
          <w:rFonts w:ascii="Century Gothic" w:hAnsi="Century Gothic"/>
          <w:noProof/>
        </w:rPr>
      </w:pPr>
      <w:r w:rsidRPr="007A351C">
        <w:rPr>
          <w:rFonts w:ascii="Century Gothic" w:hAnsi="Century Gothic"/>
          <w:noProof/>
        </w:rPr>
        <w:tab/>
        <w:t>Este conocimiento tácito comprende las percepciones, aspecto</w:t>
      </w:r>
      <w:r>
        <w:rPr>
          <w:rFonts w:ascii="Century Gothic" w:hAnsi="Century Gothic"/>
          <w:noProof/>
        </w:rPr>
        <w:t>s</w:t>
      </w:r>
      <w:r w:rsidRPr="007A351C">
        <w:rPr>
          <w:rFonts w:ascii="Century Gothic" w:hAnsi="Century Gothic"/>
          <w:noProof/>
        </w:rPr>
        <w:t xml:space="preserve"> culturales, experiencias y demás factores que conforman la personalidad de la persona que los posee. Así ante un mismo hecho objetivo cada persona percibirá una realidad diferente, y reaccionará de modo diferente.</w:t>
      </w:r>
    </w:p>
    <w:p w:rsidR="00AE5C99" w:rsidRPr="007A351C" w:rsidRDefault="00AE5C99" w:rsidP="00AE5C99">
      <w:pPr>
        <w:jc w:val="both"/>
        <w:rPr>
          <w:rFonts w:ascii="Century Gothic" w:hAnsi="Century Gothic"/>
          <w:noProof/>
        </w:rPr>
      </w:pPr>
      <w:r w:rsidRPr="007A351C">
        <w:rPr>
          <w:rFonts w:ascii="Century Gothic" w:hAnsi="Century Gothic"/>
          <w:noProof/>
        </w:rPr>
        <w:tab/>
        <w:t>Queda por tanto otro tipo de conocimiento al que se conoce como explícito. Este será por tanto aquel que se encuentra codificado de algún modo para que todas las personas puedan acceder a él y que pase a formar parte de sus conocimientos. Será por tanto este conocimiento fruto de un proceso de aprendizaje.</w:t>
      </w:r>
    </w:p>
    <w:p w:rsidR="00AE5C99" w:rsidRPr="007A351C" w:rsidRDefault="00AE5C99" w:rsidP="00AE5C99">
      <w:pPr>
        <w:jc w:val="both"/>
        <w:rPr>
          <w:rFonts w:ascii="Century Gothic" w:hAnsi="Century Gothic"/>
          <w:noProof/>
        </w:rPr>
      </w:pPr>
      <w:r w:rsidRPr="007A351C">
        <w:rPr>
          <w:rFonts w:ascii="Century Gothic" w:hAnsi="Century Gothic"/>
          <w:noProof/>
        </w:rPr>
        <w:tab/>
        <w:t>Nonaka (1991) en su artículo “</w:t>
      </w:r>
      <w:r w:rsidRPr="007A351C">
        <w:rPr>
          <w:rFonts w:ascii="Century Gothic" w:hAnsi="Century Gothic"/>
          <w:i/>
          <w:iCs/>
          <w:noProof/>
        </w:rPr>
        <w:t xml:space="preserve">The knowledge Creating Comnpany”, </w:t>
      </w:r>
      <w:r w:rsidRPr="007A351C">
        <w:rPr>
          <w:rFonts w:ascii="Century Gothic" w:hAnsi="Century Gothic"/>
          <w:noProof/>
        </w:rPr>
        <w:t>en Harward Bussines Review, vol.69, nº6, p.96-104 y Nonaka y Takeuchi (1995) en “The Knoledge-Creating Company” en Oxford University Press, establecen la evolución de un tipo de conocimientos a otros.</w:t>
      </w:r>
    </w:p>
    <w:p w:rsidR="00AE5C99" w:rsidRPr="007A351C" w:rsidRDefault="00AE5C99" w:rsidP="00AE5C99">
      <w:pPr>
        <w:jc w:val="both"/>
        <w:rPr>
          <w:rFonts w:ascii="Century Gothic" w:hAnsi="Century Gothic" w:cs="Times New Roman"/>
        </w:rPr>
      </w:pPr>
      <w:r w:rsidRPr="007A351C">
        <w:rPr>
          <w:rFonts w:ascii="Century Gothic" w:hAnsi="Century Gothic" w:cs="Times New Roman"/>
        </w:rPr>
        <w:lastRenderedPageBreak/>
        <w:tab/>
      </w:r>
      <w:r w:rsidRPr="007A351C">
        <w:rPr>
          <w:rFonts w:ascii="Century Gothic" w:hAnsi="Century Gothic"/>
          <w:noProof/>
        </w:rPr>
        <w:t>Existe por tanto un proceso de transformación de conocimientos tácitos en explícitos dentro de cualquier organización. Del mismo modo una vez interiorizados estos pasarán de nuevo a conocimientos tácitos. Este proceso de transformación del conocimiento es el que explica y representa la espiral del conocimiento, definida por Nonaka y Konno (1998).</w:t>
      </w:r>
    </w:p>
    <w:p w:rsidR="00AE5C99" w:rsidRPr="007A351C" w:rsidRDefault="00AE5C99" w:rsidP="00AE5C99">
      <w:pPr>
        <w:jc w:val="both"/>
        <w:rPr>
          <w:rFonts w:ascii="Century Gothic" w:hAnsi="Century Gothic"/>
          <w:noProof/>
        </w:rPr>
      </w:pPr>
      <w:r w:rsidRPr="007A351C">
        <w:rPr>
          <w:rFonts w:ascii="Century Gothic" w:hAnsi="Century Gothic"/>
          <w:noProof/>
        </w:rPr>
        <w:tab/>
      </w:r>
      <w:r w:rsidRPr="007A351C">
        <w:rPr>
          <w:rFonts w:ascii="Century Gothic" w:hAnsi="Century Gothic"/>
          <w:noProof/>
        </w:rPr>
        <w:tab/>
      </w:r>
      <w:r w:rsidRPr="007A351C">
        <w:rPr>
          <w:rFonts w:ascii="Century Gothic" w:hAnsi="Century Gothic"/>
          <w:noProof/>
        </w:rPr>
        <w:drawing>
          <wp:inline distT="0" distB="0" distL="0" distR="0">
            <wp:extent cx="3143250" cy="2280078"/>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5820" t="36677" r="60141" b="19436"/>
                    <a:stretch>
                      <a:fillRect/>
                    </a:stretch>
                  </pic:blipFill>
                  <pic:spPr bwMode="auto">
                    <a:xfrm>
                      <a:off x="0" y="0"/>
                      <a:ext cx="3143250" cy="2280078"/>
                    </a:xfrm>
                    <a:prstGeom prst="rect">
                      <a:avLst/>
                    </a:prstGeom>
                    <a:noFill/>
                    <a:ln w="9525">
                      <a:noFill/>
                      <a:miter lim="800000"/>
                      <a:headEnd/>
                      <a:tailEnd/>
                    </a:ln>
                  </pic:spPr>
                </pic:pic>
              </a:graphicData>
            </a:graphic>
          </wp:inline>
        </w:drawing>
      </w:r>
    </w:p>
    <w:p w:rsidR="00AE5C99" w:rsidRPr="007A351C" w:rsidRDefault="00AE5C99" w:rsidP="00AE5C99">
      <w:pPr>
        <w:tabs>
          <w:tab w:val="left" w:pos="708"/>
          <w:tab w:val="left" w:pos="1134"/>
          <w:tab w:val="left" w:pos="2124"/>
          <w:tab w:val="left" w:pos="2832"/>
          <w:tab w:val="left" w:pos="3540"/>
          <w:tab w:val="left" w:pos="4248"/>
          <w:tab w:val="left" w:pos="4956"/>
          <w:tab w:val="left" w:pos="5664"/>
          <w:tab w:val="left" w:pos="6372"/>
          <w:tab w:val="left" w:pos="7545"/>
        </w:tabs>
        <w:jc w:val="both"/>
        <w:rPr>
          <w:rFonts w:ascii="Century Gothic" w:hAnsi="Century Gothic"/>
          <w:noProof/>
        </w:rPr>
      </w:pPr>
      <w:r w:rsidRPr="007A351C">
        <w:rPr>
          <w:rFonts w:ascii="Century Gothic" w:hAnsi="Century Gothic"/>
          <w:noProof/>
        </w:rPr>
        <w:t xml:space="preserve">Fuente: </w:t>
      </w:r>
      <w:r w:rsidRPr="007A351C">
        <w:rPr>
          <w:rFonts w:ascii="Century Gothic" w:hAnsi="Century Gothic"/>
          <w:noProof/>
        </w:rPr>
        <w:tab/>
      </w:r>
      <w:proofErr w:type="spellStart"/>
      <w:r w:rsidRPr="007A351C">
        <w:rPr>
          <w:rFonts w:ascii="Century Gothic" w:hAnsi="Century Gothic"/>
          <w:sz w:val="18"/>
          <w:szCs w:val="18"/>
        </w:rPr>
        <w:t>Valhondo</w:t>
      </w:r>
      <w:proofErr w:type="spellEnd"/>
      <w:r w:rsidRPr="007A351C">
        <w:rPr>
          <w:rFonts w:ascii="Century Gothic" w:hAnsi="Century Gothic"/>
          <w:sz w:val="18"/>
          <w:szCs w:val="18"/>
        </w:rPr>
        <w:t>, Domingo. ”</w:t>
      </w:r>
      <w:r w:rsidRPr="007A351C">
        <w:rPr>
          <w:rStyle w:val="label"/>
          <w:rFonts w:ascii="Century Gothic" w:hAnsi="Century Gothic"/>
          <w:i/>
          <w:iCs/>
          <w:sz w:val="18"/>
          <w:szCs w:val="18"/>
        </w:rPr>
        <w:t>Gestión del conocimiento: del mito a la realidad</w:t>
      </w:r>
      <w:r w:rsidRPr="007A351C">
        <w:rPr>
          <w:rStyle w:val="label"/>
          <w:rFonts w:ascii="Century Gothic" w:hAnsi="Century Gothic"/>
          <w:sz w:val="18"/>
          <w:szCs w:val="18"/>
        </w:rPr>
        <w:t>”.</w:t>
      </w:r>
      <w:r w:rsidRPr="007A351C">
        <w:rPr>
          <w:rFonts w:ascii="Century Gothic" w:hAnsi="Century Gothic"/>
          <w:sz w:val="18"/>
          <w:szCs w:val="18"/>
        </w:rPr>
        <w:br/>
      </w:r>
      <w:r w:rsidRPr="007A351C">
        <w:rPr>
          <w:rFonts w:ascii="Century Gothic" w:hAnsi="Century Gothic"/>
          <w:sz w:val="18"/>
          <w:szCs w:val="18"/>
        </w:rPr>
        <w:tab/>
      </w:r>
      <w:r w:rsidRPr="007A351C">
        <w:rPr>
          <w:rFonts w:ascii="Century Gothic" w:hAnsi="Century Gothic"/>
          <w:sz w:val="18"/>
          <w:szCs w:val="18"/>
        </w:rPr>
        <w:tab/>
        <w:t xml:space="preserve">2004. </w:t>
      </w:r>
      <w:r w:rsidRPr="007A351C">
        <w:rPr>
          <w:rStyle w:val="label"/>
          <w:rFonts w:ascii="Century Gothic" w:hAnsi="Century Gothic"/>
          <w:sz w:val="18"/>
          <w:szCs w:val="18"/>
        </w:rPr>
        <w:t>Editorial</w:t>
      </w:r>
      <w:r w:rsidRPr="007A351C">
        <w:rPr>
          <w:rFonts w:ascii="Century Gothic" w:hAnsi="Century Gothic"/>
          <w:sz w:val="18"/>
          <w:szCs w:val="18"/>
        </w:rPr>
        <w:t xml:space="preserve">: Ediciones Deusto - Planeta de </w:t>
      </w:r>
      <w:proofErr w:type="spellStart"/>
      <w:r w:rsidRPr="007A351C">
        <w:rPr>
          <w:rFonts w:ascii="Century Gothic" w:hAnsi="Century Gothic"/>
          <w:sz w:val="18"/>
          <w:szCs w:val="18"/>
        </w:rPr>
        <w:t>Agostini</w:t>
      </w:r>
      <w:proofErr w:type="spellEnd"/>
      <w:r w:rsidRPr="007A351C">
        <w:rPr>
          <w:rFonts w:ascii="Century Gothic" w:hAnsi="Century Gothic"/>
          <w:sz w:val="18"/>
          <w:szCs w:val="18"/>
        </w:rPr>
        <w:t xml:space="preserve"> Profesional y Formación S.L. </w:t>
      </w:r>
    </w:p>
    <w:p w:rsidR="00AE5C99" w:rsidRPr="007A351C" w:rsidRDefault="00AE5C99" w:rsidP="00AE5C99">
      <w:pPr>
        <w:pStyle w:val="ec-article-info1"/>
        <w:shd w:val="clear" w:color="auto" w:fill="FFFFFF"/>
        <w:spacing w:line="276" w:lineRule="auto"/>
        <w:jc w:val="both"/>
        <w:rPr>
          <w:rFonts w:ascii="Century Gothic" w:hAnsi="Century Gothic" w:cstheme="minorHAnsi"/>
          <w:color w:val="auto"/>
          <w:sz w:val="22"/>
          <w:szCs w:val="22"/>
        </w:rPr>
      </w:pPr>
      <w:r>
        <w:rPr>
          <w:rFonts w:ascii="Century Gothic" w:hAnsi="Century Gothic" w:cstheme="minorHAnsi"/>
          <w:noProof/>
          <w:color w:val="auto"/>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136.55pt;margin-top:8.65pt;width:19.3pt;height:0;z-index:251660288" o:connectortype="straight">
            <v:stroke endarrow="block"/>
          </v:shape>
        </w:pict>
      </w:r>
      <w:r w:rsidRPr="007A351C">
        <w:rPr>
          <w:rFonts w:ascii="Century Gothic" w:hAnsi="Century Gothic" w:cstheme="minorHAnsi"/>
          <w:color w:val="auto"/>
          <w:sz w:val="22"/>
          <w:szCs w:val="22"/>
        </w:rPr>
        <w:t>( Conocimiento Explícito           Conocimiento Tácito).</w:t>
      </w:r>
    </w:p>
    <w:p w:rsidR="00AE5C99" w:rsidRPr="007A351C" w:rsidRDefault="00AE5C99" w:rsidP="00AE5C99">
      <w:pPr>
        <w:pStyle w:val="ec-article-info1"/>
        <w:shd w:val="clear" w:color="auto" w:fill="FFFFFF"/>
        <w:spacing w:line="276" w:lineRule="auto"/>
        <w:jc w:val="both"/>
        <w:rPr>
          <w:rFonts w:ascii="Century Gothic" w:hAnsi="Century Gothic" w:cstheme="minorHAnsi"/>
          <w:color w:val="auto"/>
          <w:sz w:val="22"/>
          <w:szCs w:val="22"/>
        </w:rPr>
      </w:pPr>
    </w:p>
    <w:p w:rsidR="00AE5C99" w:rsidRPr="007A351C" w:rsidRDefault="00AE5C99" w:rsidP="00AE5C99">
      <w:pPr>
        <w:pStyle w:val="ec-article-info1"/>
        <w:shd w:val="clear" w:color="auto" w:fill="FFFFFF"/>
        <w:spacing w:line="276" w:lineRule="auto"/>
        <w:jc w:val="both"/>
        <w:rPr>
          <w:rFonts w:ascii="Century Gothic" w:hAnsi="Century Gothic" w:cstheme="minorHAnsi"/>
          <w:color w:val="auto"/>
          <w:sz w:val="22"/>
          <w:szCs w:val="22"/>
        </w:rPr>
      </w:pPr>
      <w:r w:rsidRPr="007A351C">
        <w:rPr>
          <w:rFonts w:ascii="Century Gothic" w:hAnsi="Century Gothic" w:cstheme="minorHAnsi"/>
          <w:color w:val="auto"/>
          <w:sz w:val="22"/>
          <w:szCs w:val="22"/>
        </w:rPr>
        <w:tab/>
        <w:t>Tanto la observación del entorno como la adopción de un pensamiento creativo por parte de la organización están accesibles a todo el personal de la misma, pero no todo el personal es capaz de transformar esas ideas en oportunidades de negocio o mejora de las acciones existentes. En este punto hay un paso de conocimiento explícito (accesible y codificado para poder ser entendido), a un conocimiento tácito por parte de la persona o parte de la organización que identifica la oportunidad.</w:t>
      </w:r>
    </w:p>
    <w:p w:rsidR="00AE5C99" w:rsidRPr="007A351C" w:rsidRDefault="00AE5C99" w:rsidP="00AE5C99">
      <w:pPr>
        <w:pStyle w:val="ec-article-info1"/>
        <w:shd w:val="clear" w:color="auto" w:fill="FFFFFF"/>
        <w:spacing w:line="276" w:lineRule="auto"/>
        <w:jc w:val="both"/>
        <w:rPr>
          <w:rFonts w:ascii="Century Gothic" w:hAnsi="Century Gothic" w:cstheme="minorHAnsi"/>
          <w:color w:val="auto"/>
          <w:sz w:val="22"/>
          <w:szCs w:val="22"/>
        </w:rPr>
      </w:pPr>
    </w:p>
    <w:p w:rsidR="00AE5C99" w:rsidRPr="007A351C" w:rsidRDefault="00AE5C99" w:rsidP="00AE5C99">
      <w:pPr>
        <w:pStyle w:val="ec-article-info1"/>
        <w:shd w:val="clear" w:color="auto" w:fill="FFFFFF"/>
        <w:spacing w:line="276" w:lineRule="auto"/>
        <w:jc w:val="both"/>
        <w:rPr>
          <w:rFonts w:ascii="Century Gothic" w:hAnsi="Century Gothic" w:cstheme="minorHAnsi"/>
          <w:color w:val="auto"/>
          <w:sz w:val="22"/>
          <w:szCs w:val="22"/>
        </w:rPr>
      </w:pPr>
      <w:r>
        <w:rPr>
          <w:rFonts w:ascii="Century Gothic" w:hAnsi="Century Gothic" w:cstheme="minorHAnsi"/>
          <w:noProof/>
          <w:color w:val="auto"/>
          <w:sz w:val="22"/>
          <w:szCs w:val="22"/>
        </w:rPr>
        <w:pict>
          <v:shape id="_x0000_s1027" type="#_x0000_t32" style="position:absolute;left:0;text-align:left;margin-left:124pt;margin-top:8.65pt;width:19.3pt;height:0;z-index:251661312" o:connectortype="straight">
            <v:stroke endarrow="block"/>
          </v:shape>
        </w:pict>
      </w:r>
      <w:r w:rsidRPr="007A351C">
        <w:rPr>
          <w:rFonts w:ascii="Century Gothic" w:hAnsi="Century Gothic" w:cstheme="minorHAnsi"/>
          <w:color w:val="auto"/>
          <w:sz w:val="22"/>
          <w:szCs w:val="22"/>
        </w:rPr>
        <w:t>( Conocimiento Tácito          Conocimiento Explícito).</w:t>
      </w:r>
    </w:p>
    <w:p w:rsidR="00AE5C99" w:rsidRPr="007A351C" w:rsidRDefault="00AE5C99" w:rsidP="00AE5C99">
      <w:pPr>
        <w:pStyle w:val="ec-article-info1"/>
        <w:shd w:val="clear" w:color="auto" w:fill="FFFFFF"/>
        <w:spacing w:line="276" w:lineRule="auto"/>
        <w:jc w:val="both"/>
        <w:rPr>
          <w:rFonts w:ascii="Century Gothic" w:hAnsi="Century Gothic" w:cstheme="minorHAnsi"/>
          <w:color w:val="auto"/>
          <w:sz w:val="22"/>
          <w:szCs w:val="22"/>
        </w:rPr>
      </w:pPr>
    </w:p>
    <w:p w:rsidR="00AE5C99" w:rsidRPr="007A351C" w:rsidRDefault="00AE5C99" w:rsidP="00AE5C99">
      <w:pPr>
        <w:pStyle w:val="ec-article-info1"/>
        <w:shd w:val="clear" w:color="auto" w:fill="FFFFFF"/>
        <w:spacing w:line="276" w:lineRule="auto"/>
        <w:jc w:val="both"/>
        <w:rPr>
          <w:rFonts w:ascii="Century Gothic" w:hAnsi="Century Gothic" w:cstheme="minorHAnsi"/>
          <w:color w:val="auto"/>
          <w:sz w:val="22"/>
          <w:szCs w:val="22"/>
        </w:rPr>
      </w:pPr>
      <w:r w:rsidRPr="007A351C">
        <w:rPr>
          <w:rFonts w:ascii="Century Gothic" w:hAnsi="Century Gothic" w:cstheme="minorHAnsi"/>
          <w:color w:val="auto"/>
          <w:sz w:val="22"/>
          <w:szCs w:val="22"/>
        </w:rPr>
        <w:tab/>
        <w:t>Para que este conocimiento tácito pueda ser transmitido y entendido por el resto de la organización, tiene que ser “traducido”. Se deberá plasmar en documentos o bien deberá ser transmitido en reuniones o sesiones formativas. El personal de toda la organización deberá adquirir las competencias profesionales que lo capaciten para desarrollar su trabajo de acuerdo a las bases establecidas.</w:t>
      </w:r>
    </w:p>
    <w:p w:rsidR="00AE5C99" w:rsidRPr="007A351C" w:rsidRDefault="00AE5C99" w:rsidP="00AE5C99">
      <w:pPr>
        <w:pStyle w:val="ec-article-info1"/>
        <w:shd w:val="clear" w:color="auto" w:fill="FFFFFF"/>
        <w:spacing w:line="276" w:lineRule="auto"/>
        <w:jc w:val="both"/>
        <w:rPr>
          <w:rFonts w:ascii="Century Gothic" w:hAnsi="Century Gothic" w:cstheme="minorHAnsi"/>
          <w:color w:val="auto"/>
          <w:sz w:val="22"/>
          <w:szCs w:val="22"/>
        </w:rPr>
      </w:pPr>
    </w:p>
    <w:p w:rsidR="00AE5C99" w:rsidRDefault="00AE5C99" w:rsidP="00AE5C99">
      <w:pPr>
        <w:pStyle w:val="ec-article-info1"/>
        <w:shd w:val="clear" w:color="auto" w:fill="FFFFFF"/>
        <w:spacing w:line="276" w:lineRule="auto"/>
        <w:jc w:val="both"/>
        <w:rPr>
          <w:rFonts w:ascii="Century Gothic" w:hAnsi="Century Gothic" w:cstheme="minorHAnsi"/>
          <w:color w:val="auto"/>
          <w:sz w:val="22"/>
          <w:szCs w:val="22"/>
        </w:rPr>
      </w:pPr>
      <w:r>
        <w:rPr>
          <w:rFonts w:ascii="Century Gothic" w:hAnsi="Century Gothic" w:cstheme="minorHAnsi"/>
          <w:noProof/>
          <w:color w:val="auto"/>
          <w:sz w:val="22"/>
          <w:szCs w:val="22"/>
        </w:rPr>
        <w:pict>
          <v:shape id="_x0000_s1028" type="#_x0000_t32" style="position:absolute;left:0;text-align:left;margin-left:136.55pt;margin-top:8.65pt;width:19.3pt;height:0;z-index:251662336" o:connectortype="straight">
            <v:stroke endarrow="block"/>
          </v:shape>
        </w:pict>
      </w:r>
      <w:r w:rsidRPr="007A351C">
        <w:rPr>
          <w:rFonts w:ascii="Century Gothic" w:hAnsi="Century Gothic" w:cstheme="minorHAnsi"/>
          <w:color w:val="auto"/>
          <w:sz w:val="22"/>
          <w:szCs w:val="22"/>
        </w:rPr>
        <w:t>( Conocimiento Explícito          Conocimiento Explícito).</w:t>
      </w:r>
    </w:p>
    <w:p w:rsidR="00AE5C99" w:rsidRPr="007A351C" w:rsidRDefault="00AE5C99" w:rsidP="00AE5C99">
      <w:pPr>
        <w:pStyle w:val="ec-article-info1"/>
        <w:shd w:val="clear" w:color="auto" w:fill="FFFFFF"/>
        <w:spacing w:line="276" w:lineRule="auto"/>
        <w:jc w:val="both"/>
        <w:rPr>
          <w:rFonts w:ascii="Century Gothic" w:hAnsi="Century Gothic" w:cstheme="minorHAnsi"/>
          <w:color w:val="auto"/>
          <w:sz w:val="22"/>
          <w:szCs w:val="22"/>
        </w:rPr>
      </w:pPr>
    </w:p>
    <w:p w:rsidR="00AE5C99" w:rsidRPr="007A351C" w:rsidRDefault="00AE5C99" w:rsidP="00AE5C99">
      <w:pPr>
        <w:pStyle w:val="ec-article-info1"/>
        <w:shd w:val="clear" w:color="auto" w:fill="FFFFFF"/>
        <w:spacing w:line="276" w:lineRule="auto"/>
        <w:jc w:val="both"/>
        <w:rPr>
          <w:rFonts w:ascii="Century Gothic" w:hAnsi="Century Gothic" w:cstheme="minorHAnsi"/>
          <w:color w:val="auto"/>
          <w:sz w:val="22"/>
          <w:szCs w:val="22"/>
        </w:rPr>
      </w:pPr>
      <w:r w:rsidRPr="007A351C">
        <w:rPr>
          <w:rFonts w:ascii="Century Gothic" w:hAnsi="Century Gothic" w:cstheme="minorHAnsi"/>
          <w:color w:val="auto"/>
          <w:sz w:val="22"/>
          <w:szCs w:val="22"/>
        </w:rPr>
        <w:tab/>
        <w:t xml:space="preserve">Una vez lanzado el nuevo producto, proceso, método organizaciones o técnica de mercadotecnia, este lanzamiento aportará datos que posibilitarán el estudio de los mismos, permitiendo tomar decisiones acorde a los mismos. </w:t>
      </w:r>
      <w:r w:rsidRPr="007A351C">
        <w:rPr>
          <w:rFonts w:ascii="Century Gothic" w:hAnsi="Century Gothic" w:cstheme="minorHAnsi"/>
          <w:color w:val="auto"/>
          <w:sz w:val="22"/>
          <w:szCs w:val="22"/>
        </w:rPr>
        <w:lastRenderedPageBreak/>
        <w:t>Del mismo modo este conocimiento explícito puede ser percibido por los competidores y hacer que los mismos sean capaces de desarrollar innovaciones en sus organizaciones que les permitan competir.</w:t>
      </w:r>
    </w:p>
    <w:p w:rsidR="00AE5C99" w:rsidRPr="007A351C" w:rsidRDefault="00AE5C99" w:rsidP="00AE5C99">
      <w:pPr>
        <w:autoSpaceDE w:val="0"/>
        <w:autoSpaceDN w:val="0"/>
        <w:adjustRightInd w:val="0"/>
        <w:spacing w:after="0"/>
        <w:jc w:val="both"/>
        <w:rPr>
          <w:rFonts w:ascii="Century Gothic" w:hAnsi="Century Gothic" w:cs="Times New Roman"/>
        </w:rPr>
      </w:pPr>
      <w:r w:rsidRPr="007A351C">
        <w:rPr>
          <w:rFonts w:ascii="Century Gothic" w:hAnsi="Century Gothic" w:cs="Times New Roman"/>
        </w:rPr>
        <w:tab/>
      </w:r>
    </w:p>
    <w:p w:rsidR="00AE5C99" w:rsidRPr="007A351C" w:rsidRDefault="00AE5C99" w:rsidP="00AE5C99">
      <w:pPr>
        <w:autoSpaceDE w:val="0"/>
        <w:autoSpaceDN w:val="0"/>
        <w:adjustRightInd w:val="0"/>
        <w:spacing w:after="0"/>
        <w:jc w:val="both"/>
        <w:rPr>
          <w:rFonts w:ascii="Century Gothic" w:hAnsi="Century Gothic" w:cs="Times New Roman"/>
        </w:rPr>
      </w:pPr>
      <w:r w:rsidRPr="007A351C">
        <w:rPr>
          <w:rFonts w:ascii="Century Gothic" w:hAnsi="Century Gothic"/>
          <w:noProof/>
        </w:rPr>
        <w:tab/>
        <w:t>El conjunto de conocimientos y experiencias prácticas, constituyen la base de las condiciones que poseen las organizaciones para competir en un mercado con contínuas turbulencias.</w:t>
      </w:r>
      <w:r w:rsidRPr="007A351C">
        <w:rPr>
          <w:rFonts w:ascii="Century Gothic" w:hAnsi="Century Gothic" w:cs="Times New Roman"/>
        </w:rPr>
        <w:t xml:space="preserve">  De ahí la importancia que adquieren los sistemas de gestión del conocimiento dentro de las organizaciones. </w:t>
      </w:r>
    </w:p>
    <w:p w:rsidR="00AE5C99" w:rsidRPr="007A351C" w:rsidRDefault="00AE5C99" w:rsidP="00AE5C99">
      <w:pPr>
        <w:autoSpaceDE w:val="0"/>
        <w:autoSpaceDN w:val="0"/>
        <w:adjustRightInd w:val="0"/>
        <w:spacing w:after="0"/>
        <w:jc w:val="both"/>
        <w:rPr>
          <w:rFonts w:ascii="Century Gothic" w:hAnsi="Century Gothic" w:cs="Times New Roman"/>
        </w:rPr>
      </w:pPr>
    </w:p>
    <w:p w:rsidR="00AE5C99" w:rsidRPr="007A351C" w:rsidRDefault="00AE5C99" w:rsidP="00AE5C99">
      <w:pPr>
        <w:jc w:val="both"/>
        <w:rPr>
          <w:rFonts w:ascii="Century Gothic" w:hAnsi="Century Gothic" w:cs="Times New Roman"/>
        </w:rPr>
      </w:pPr>
      <w:r w:rsidRPr="007A351C">
        <w:rPr>
          <w:rFonts w:ascii="Century Gothic" w:hAnsi="Century Gothic" w:cs="Times New Roman"/>
        </w:rPr>
        <w:tab/>
        <w:t>Podemos decir por tanto que las organizaciones basadas en la gestión de sus conocimientos y el establecimiento de sistemas de aprendizajes, estarán más capacitadas para crear valor en sus productos o servicios. Esta eficaz gestión unida a la generación de innovaciones, establecerán las bases de organizaciones capaces de diferenciarse de la competencia y posicionarse en los mercados.</w:t>
      </w:r>
    </w:p>
    <w:p w:rsidR="00AE5C99" w:rsidRPr="007A351C" w:rsidRDefault="00AE5C99" w:rsidP="00AE5C99">
      <w:pPr>
        <w:autoSpaceDE w:val="0"/>
        <w:autoSpaceDN w:val="0"/>
        <w:adjustRightInd w:val="0"/>
        <w:spacing w:after="0"/>
        <w:ind w:firstLine="707"/>
        <w:jc w:val="both"/>
        <w:rPr>
          <w:rFonts w:ascii="Century Gothic" w:hAnsi="Century Gothic" w:cs="Times New Roman"/>
        </w:rPr>
      </w:pPr>
      <w:r w:rsidRPr="007A351C">
        <w:rPr>
          <w:rFonts w:ascii="Century Gothic" w:hAnsi="Century Gothic" w:cs="Times New Roman"/>
        </w:rPr>
        <w:t>Un gran número de empresas para conservar su posición competitiva, definen su estrategia de innovación sobre la base de la mejora continua de las prestaciones de sus productos.</w:t>
      </w:r>
    </w:p>
    <w:p w:rsidR="00AE5C99" w:rsidRPr="007A351C" w:rsidRDefault="00AE5C99" w:rsidP="00AE5C99">
      <w:pPr>
        <w:autoSpaceDE w:val="0"/>
        <w:autoSpaceDN w:val="0"/>
        <w:adjustRightInd w:val="0"/>
        <w:spacing w:after="0"/>
        <w:ind w:firstLine="707"/>
        <w:jc w:val="both"/>
        <w:rPr>
          <w:rFonts w:ascii="Century Gothic" w:hAnsi="Century Gothic" w:cs="Times New Roman"/>
        </w:rPr>
      </w:pPr>
    </w:p>
    <w:p w:rsidR="00AE5C99" w:rsidRPr="007A351C" w:rsidRDefault="00AE5C99" w:rsidP="00AE5C99">
      <w:pPr>
        <w:autoSpaceDE w:val="0"/>
        <w:autoSpaceDN w:val="0"/>
        <w:adjustRightInd w:val="0"/>
        <w:spacing w:after="0"/>
        <w:ind w:firstLine="707"/>
        <w:jc w:val="both"/>
        <w:rPr>
          <w:rFonts w:ascii="Century Gothic" w:hAnsi="Century Gothic" w:cs="Times New Roman"/>
        </w:rPr>
      </w:pPr>
      <w:r w:rsidRPr="007A351C">
        <w:rPr>
          <w:rFonts w:ascii="Century Gothic" w:hAnsi="Century Gothic" w:cs="Times New Roman"/>
        </w:rPr>
        <w:t>Para innovar hay que romper esquemas, esquemas adquiridos en las empresas o bien esquemas establecidos de forma convencional.</w:t>
      </w:r>
    </w:p>
    <w:p w:rsidR="00AE5C99" w:rsidRPr="007A351C" w:rsidRDefault="00AE5C99" w:rsidP="00AE5C99">
      <w:pPr>
        <w:jc w:val="both"/>
        <w:rPr>
          <w:rFonts w:ascii="Century Gothic" w:hAnsi="Century Gothic" w:cs="Times New Roman"/>
        </w:rPr>
      </w:pPr>
    </w:p>
    <w:p w:rsidR="00AE5C99" w:rsidRPr="007A351C" w:rsidRDefault="00AE5C99" w:rsidP="00AE5C99">
      <w:pPr>
        <w:jc w:val="both"/>
        <w:rPr>
          <w:rFonts w:ascii="Century Gothic" w:hAnsi="Century Gothic" w:cs="Times New Roman"/>
        </w:rPr>
      </w:pPr>
      <w:r w:rsidRPr="007A351C">
        <w:rPr>
          <w:rFonts w:ascii="Century Gothic" w:hAnsi="Century Gothic" w:cs="Times New Roman"/>
        </w:rPr>
        <w:tab/>
        <w:t xml:space="preserve">Michael </w:t>
      </w:r>
      <w:proofErr w:type="spellStart"/>
      <w:r w:rsidRPr="007A351C">
        <w:rPr>
          <w:rFonts w:ascii="Century Gothic" w:hAnsi="Century Gothic" w:cs="Times New Roman"/>
        </w:rPr>
        <w:t>Porter</w:t>
      </w:r>
      <w:proofErr w:type="spellEnd"/>
      <w:r w:rsidRPr="007A351C">
        <w:rPr>
          <w:rFonts w:ascii="Century Gothic" w:hAnsi="Century Gothic" w:cs="Times New Roman"/>
        </w:rPr>
        <w:t xml:space="preserve"> escribe en </w:t>
      </w:r>
      <w:proofErr w:type="spellStart"/>
      <w:r w:rsidRPr="007A351C">
        <w:rPr>
          <w:rFonts w:ascii="Century Gothic" w:hAnsi="Century Gothic" w:cs="Times New Roman"/>
          <w:i/>
          <w:iCs/>
        </w:rPr>
        <w:t>Competitive</w:t>
      </w:r>
      <w:proofErr w:type="spellEnd"/>
      <w:r w:rsidRPr="007A351C">
        <w:rPr>
          <w:rFonts w:ascii="Century Gothic" w:hAnsi="Century Gothic" w:cs="Times New Roman"/>
          <w:i/>
          <w:iCs/>
        </w:rPr>
        <w:t xml:space="preserve"> </w:t>
      </w:r>
      <w:proofErr w:type="spellStart"/>
      <w:r w:rsidRPr="007A351C">
        <w:rPr>
          <w:rFonts w:ascii="Century Gothic" w:hAnsi="Century Gothic" w:cs="Times New Roman"/>
          <w:i/>
          <w:iCs/>
        </w:rPr>
        <w:t>Advantage</w:t>
      </w:r>
      <w:proofErr w:type="spellEnd"/>
      <w:r w:rsidRPr="007A351C">
        <w:rPr>
          <w:rFonts w:ascii="Century Gothic" w:hAnsi="Century Gothic" w:cs="Times New Roman"/>
        </w:rPr>
        <w:t xml:space="preserve">, Free </w:t>
      </w:r>
      <w:proofErr w:type="spellStart"/>
      <w:r w:rsidRPr="007A351C">
        <w:rPr>
          <w:rFonts w:ascii="Century Gothic" w:hAnsi="Century Gothic" w:cs="Times New Roman"/>
        </w:rPr>
        <w:t>Press</w:t>
      </w:r>
      <w:proofErr w:type="spellEnd"/>
      <w:r w:rsidRPr="007A351C">
        <w:rPr>
          <w:rFonts w:ascii="Century Gothic" w:hAnsi="Century Gothic" w:cs="Times New Roman"/>
        </w:rPr>
        <w:t>, EEUU, 1985:</w:t>
      </w:r>
    </w:p>
    <w:p w:rsidR="00AE5C99" w:rsidRPr="00AE5C99" w:rsidRDefault="00AE5C99" w:rsidP="00AE5C99">
      <w:pPr>
        <w:ind w:left="426"/>
        <w:jc w:val="both"/>
        <w:rPr>
          <w:rFonts w:ascii="Century Gothic" w:hAnsi="Century Gothic"/>
          <w:i/>
          <w:iCs/>
          <w:noProof/>
        </w:rPr>
      </w:pPr>
      <w:r w:rsidRPr="00AE5C99">
        <w:rPr>
          <w:rFonts w:ascii="Century Gothic" w:hAnsi="Century Gothic" w:cs="Times New Roman"/>
          <w:i/>
          <w:iCs/>
        </w:rPr>
        <w:t>"la ventaja competitiva nace fundamentalmente del valor que una empresa es capaz de crear para sus compradores".</w:t>
      </w:r>
      <w:r w:rsidRPr="00AE5C99">
        <w:rPr>
          <w:rFonts w:ascii="Times New Roman" w:hAnsi="Times New Roman" w:cs="Times New Roman"/>
          <w:i/>
          <w:iCs/>
          <w:sz w:val="24"/>
          <w:szCs w:val="24"/>
        </w:rPr>
        <w:t xml:space="preserve"> </w:t>
      </w:r>
    </w:p>
    <w:p w:rsidR="00617DAD" w:rsidRDefault="00AE5C99" w:rsidP="00AE5C99">
      <w:pPr>
        <w:jc w:val="both"/>
      </w:pPr>
      <w:r w:rsidRPr="007A351C">
        <w:rPr>
          <w:rFonts w:ascii="Century Gothic" w:hAnsi="Century Gothic"/>
          <w:noProof/>
        </w:rPr>
        <w:tab/>
      </w:r>
    </w:p>
    <w:sectPr w:rsidR="00617DAD" w:rsidSect="00617DAD">
      <w:footerReference w:type="default" r:id="rI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AA" w:rsidRPr="0063335C" w:rsidRDefault="00AE5C99" w:rsidP="006333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461"/>
      <w:docPartObj>
        <w:docPartGallery w:val="Page Numbers (Bottom of Page)"/>
        <w:docPartUnique/>
      </w:docPartObj>
    </w:sdtPr>
    <w:sdtEndPr/>
    <w:sdtContent>
      <w:p w:rsidR="00AF34AA" w:rsidRDefault="00AE5C99">
        <w:pPr>
          <w:pStyle w:val="Piedepgina"/>
          <w:jc w:val="right"/>
        </w:pPr>
        <w:r>
          <w:fldChar w:fldCharType="begin"/>
        </w:r>
        <w:r>
          <w:instrText xml:space="preserve"> PAGE   \* MERGEFORMAT </w:instrText>
        </w:r>
        <w:r>
          <w:fldChar w:fldCharType="separate"/>
        </w:r>
        <w:r>
          <w:rPr>
            <w:noProof/>
          </w:rPr>
          <w:t>5</w:t>
        </w:r>
        <w:r>
          <w:fldChar w:fldCharType="end"/>
        </w:r>
      </w:p>
    </w:sdtContent>
  </w:sdt>
  <w:p w:rsidR="00AF34AA" w:rsidRDefault="00AE5C99">
    <w:pPr>
      <w:pStyle w:val="Piedep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42CDD"/>
    <w:multiLevelType w:val="hybridMultilevel"/>
    <w:tmpl w:val="B9FEFEE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E5C99"/>
    <w:rsid w:val="00463937"/>
    <w:rsid w:val="00524FB3"/>
    <w:rsid w:val="00617DAD"/>
    <w:rsid w:val="00762475"/>
    <w:rsid w:val="009B35F5"/>
    <w:rsid w:val="00A12980"/>
    <w:rsid w:val="00AE5C99"/>
    <w:rsid w:val="00BB3D87"/>
    <w:rsid w:val="00C37727"/>
    <w:rsid w:val="00E152DA"/>
  </w:rsids>
  <m:mathPr>
    <m:mathFont m:val="Cambria Math"/>
    <m:brkBin m:val="before"/>
    <m:brkBinSub m:val="--"/>
    <m:smallFrac m:val="off"/>
    <m:dispDef/>
    <m:lMargin m:val="0"/>
    <m:rMargin m:val="0"/>
    <m:defJc m:val="centerGroup"/>
    <m:wrapIndent m:val="1440"/>
    <m:intLim m:val="subSup"/>
    <m:naryLim m:val="undOvr"/>
  </m:mathPr>
  <w:themeFontLang w:val="es-E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E5C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C99"/>
  </w:style>
  <w:style w:type="character" w:customStyle="1" w:styleId="label">
    <w:name w:val="label"/>
    <w:basedOn w:val="Fuentedeprrafopredeter"/>
    <w:rsid w:val="00AE5C99"/>
  </w:style>
  <w:style w:type="paragraph" w:styleId="Prrafodelista">
    <w:name w:val="List Paragraph"/>
    <w:basedOn w:val="Normal"/>
    <w:uiPriority w:val="34"/>
    <w:qFormat/>
    <w:rsid w:val="00AE5C99"/>
    <w:pPr>
      <w:ind w:left="720"/>
      <w:contextualSpacing/>
    </w:pPr>
  </w:style>
  <w:style w:type="paragraph" w:customStyle="1" w:styleId="ec-article-info1">
    <w:name w:val="ec-article-info1"/>
    <w:basedOn w:val="Normal"/>
    <w:rsid w:val="00AE5C99"/>
    <w:pPr>
      <w:spacing w:after="0" w:line="300" w:lineRule="atLeast"/>
    </w:pPr>
    <w:rPr>
      <w:rFonts w:ascii="Times New Roman" w:eastAsia="Times New Roman" w:hAnsi="Times New Roman" w:cs="Times New Roman"/>
      <w:color w:val="666666"/>
      <w:sz w:val="26"/>
      <w:szCs w:val="26"/>
    </w:rPr>
  </w:style>
  <w:style w:type="paragraph" w:styleId="Textodeglobo">
    <w:name w:val="Balloon Text"/>
    <w:basedOn w:val="Normal"/>
    <w:link w:val="TextodegloboCar"/>
    <w:uiPriority w:val="99"/>
    <w:semiHidden/>
    <w:unhideWhenUsed/>
    <w:rsid w:val="00AE5C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8389</Characters>
  <Application>Microsoft Office Word</Application>
  <DocSecurity>0</DocSecurity>
  <Lines>69</Lines>
  <Paragraphs>19</Paragraphs>
  <ScaleCrop>false</ScaleCrop>
  <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Ramon</dc:creator>
  <cp:lastModifiedBy>Juan Ramon</cp:lastModifiedBy>
  <cp:revision>1</cp:revision>
  <dcterms:created xsi:type="dcterms:W3CDTF">2012-08-31T14:40:00Z</dcterms:created>
  <dcterms:modified xsi:type="dcterms:W3CDTF">2012-08-31T14:41:00Z</dcterms:modified>
</cp:coreProperties>
</file>